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07"/>
        <w:gridCol w:w="1615"/>
        <w:gridCol w:w="4553"/>
      </w:tblGrid>
      <w:tr w:rsidR="000050DF" w:rsidRPr="00EE2F93" w:rsidTr="000050DF">
        <w:trPr>
          <w:trHeight w:val="2202"/>
        </w:trPr>
        <w:tc>
          <w:tcPr>
            <w:tcW w:w="4407" w:type="dxa"/>
          </w:tcPr>
          <w:p w:rsidR="000050DF" w:rsidRDefault="000050DF" w:rsidP="009B4C99">
            <w:pPr>
              <w:pStyle w:val="3"/>
              <w:spacing w:line="240" w:lineRule="auto"/>
              <w:ind w:right="-88"/>
              <w:jc w:val="center"/>
              <w:rPr>
                <w:rFonts w:ascii="T_Times NR" w:hAnsi="T_Times NR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_Times NR" w:hAnsi="T_Times NR"/>
                <w:b w:val="0"/>
                <w:color w:val="000000" w:themeColor="text1"/>
              </w:rPr>
              <w:t>РЕСПУБЛИКА ТАТАРСТАН</w:t>
            </w:r>
          </w:p>
          <w:p w:rsidR="000050DF" w:rsidRPr="000050DF" w:rsidRDefault="000050DF" w:rsidP="009B4C99">
            <w:pPr>
              <w:pStyle w:val="1"/>
              <w:ind w:right="-88"/>
              <w:rPr>
                <w:rFonts w:ascii="T_Times NR" w:hAnsi="T_Times NR"/>
                <w:color w:val="000000" w:themeColor="text1"/>
                <w:sz w:val="22"/>
                <w:szCs w:val="22"/>
              </w:rPr>
            </w:pPr>
          </w:p>
          <w:p w:rsidR="000050DF" w:rsidRPr="000050DF" w:rsidRDefault="000050DF" w:rsidP="009B4C99">
            <w:pPr>
              <w:ind w:right="-88"/>
              <w:jc w:val="center"/>
              <w:rPr>
                <w:rFonts w:ascii="T_Times NR" w:hAnsi="T_Times NR"/>
                <w:b/>
                <w:color w:val="000000" w:themeColor="text1"/>
                <w:sz w:val="22"/>
                <w:szCs w:val="22"/>
              </w:rPr>
            </w:pPr>
            <w:r w:rsidRPr="000050DF">
              <w:rPr>
                <w:rFonts w:ascii="T_Times NR" w:hAnsi="T_Times NR"/>
                <w:b/>
                <w:color w:val="000000" w:themeColor="text1"/>
                <w:sz w:val="22"/>
                <w:szCs w:val="22"/>
              </w:rPr>
              <w:t>РУКОВОДИТЕЛЬ</w:t>
            </w:r>
          </w:p>
          <w:p w:rsidR="000050DF" w:rsidRPr="000050DF" w:rsidRDefault="000050DF" w:rsidP="009B4C99">
            <w:pPr>
              <w:ind w:right="-88"/>
              <w:jc w:val="center"/>
              <w:rPr>
                <w:rFonts w:ascii="T_Times NR" w:hAnsi="T_Times NR"/>
                <w:b/>
                <w:color w:val="000000" w:themeColor="text1"/>
                <w:sz w:val="22"/>
                <w:szCs w:val="22"/>
              </w:rPr>
            </w:pPr>
            <w:r w:rsidRPr="000050DF">
              <w:rPr>
                <w:rFonts w:ascii="T_Times NR" w:hAnsi="T_Times NR"/>
                <w:b/>
                <w:color w:val="000000" w:themeColor="text1"/>
                <w:sz w:val="22"/>
                <w:szCs w:val="22"/>
              </w:rPr>
              <w:t>БОЛЬШЕНЫРСИНСКОГО</w:t>
            </w:r>
          </w:p>
          <w:p w:rsidR="000050DF" w:rsidRPr="000050DF" w:rsidRDefault="000050DF" w:rsidP="009B4C99">
            <w:pPr>
              <w:ind w:right="-88"/>
              <w:jc w:val="center"/>
              <w:rPr>
                <w:rFonts w:ascii="T_Times NR" w:hAnsi="T_Times NR"/>
                <w:b/>
                <w:color w:val="000000" w:themeColor="text1"/>
                <w:sz w:val="22"/>
                <w:szCs w:val="22"/>
                <w:lang w:val="tt-RU"/>
              </w:rPr>
            </w:pPr>
            <w:r w:rsidRPr="000050DF">
              <w:rPr>
                <w:rFonts w:ascii="T_Times NR" w:hAnsi="T_Times NR"/>
                <w:b/>
                <w:color w:val="000000" w:themeColor="text1"/>
                <w:sz w:val="22"/>
                <w:szCs w:val="22"/>
              </w:rPr>
              <w:t>СЕЛЬСКОГО</w:t>
            </w:r>
          </w:p>
          <w:p w:rsidR="000050DF" w:rsidRPr="000050DF" w:rsidRDefault="000050DF" w:rsidP="009B4C99">
            <w:pPr>
              <w:ind w:right="-88"/>
              <w:jc w:val="center"/>
              <w:rPr>
                <w:rFonts w:ascii="T_Times NR" w:hAnsi="T_Times NR"/>
                <w:b/>
                <w:color w:val="000000" w:themeColor="text1"/>
                <w:sz w:val="22"/>
                <w:szCs w:val="22"/>
                <w:lang w:val="tt-RU"/>
              </w:rPr>
            </w:pPr>
            <w:r w:rsidRPr="000050DF">
              <w:rPr>
                <w:rFonts w:ascii="T_Times NR" w:hAnsi="T_Times NR"/>
                <w:b/>
                <w:color w:val="000000" w:themeColor="text1"/>
                <w:sz w:val="22"/>
                <w:szCs w:val="22"/>
              </w:rPr>
              <w:t>ИСПОЛНИТЕЛЬНОГО</w:t>
            </w:r>
          </w:p>
          <w:p w:rsidR="000050DF" w:rsidRPr="000050DF" w:rsidRDefault="000050DF" w:rsidP="009B4C99">
            <w:pPr>
              <w:ind w:right="-88"/>
              <w:jc w:val="center"/>
              <w:rPr>
                <w:rFonts w:ascii="T_Times NR" w:hAnsi="T_Times NR"/>
                <w:color w:val="000000" w:themeColor="text1"/>
                <w:sz w:val="22"/>
                <w:szCs w:val="22"/>
              </w:rPr>
            </w:pPr>
            <w:r w:rsidRPr="000050DF">
              <w:rPr>
                <w:rFonts w:ascii="T_Times NR" w:hAnsi="T_Times NR"/>
                <w:b/>
                <w:color w:val="000000" w:themeColor="text1"/>
                <w:sz w:val="22"/>
                <w:szCs w:val="22"/>
              </w:rPr>
              <w:t>КОМИТЕТА</w:t>
            </w:r>
            <w:r w:rsidRPr="000050DF">
              <w:rPr>
                <w:rFonts w:ascii="T_Times NR" w:hAnsi="T_Times NR"/>
                <w:b/>
                <w:color w:val="000000" w:themeColor="text1"/>
                <w:sz w:val="22"/>
                <w:szCs w:val="22"/>
                <w:lang w:val="tt-RU"/>
              </w:rPr>
              <w:t xml:space="preserve"> </w:t>
            </w:r>
            <w:r w:rsidRPr="000050DF">
              <w:rPr>
                <w:rFonts w:ascii="T_Times NR" w:hAnsi="T_Times NR"/>
                <w:b/>
                <w:color w:val="000000" w:themeColor="text1"/>
                <w:sz w:val="22"/>
                <w:szCs w:val="22"/>
              </w:rPr>
              <w:t>ТЮЛЯЧИНСКОГО</w:t>
            </w:r>
            <w:r>
              <w:rPr>
                <w:rFonts w:ascii="T_Times NR" w:hAnsi="T_Times NR"/>
                <w:b/>
                <w:color w:val="000000" w:themeColor="text1"/>
                <w:sz w:val="22"/>
                <w:szCs w:val="22"/>
              </w:rPr>
              <w:t xml:space="preserve"> МУНИЦИПАЛЬНОГО РАЙОНА</w:t>
            </w:r>
          </w:p>
          <w:p w:rsidR="000050DF" w:rsidRDefault="000050DF" w:rsidP="009B4C99">
            <w:pPr>
              <w:ind w:right="-88"/>
              <w:jc w:val="center"/>
              <w:rPr>
                <w:rFonts w:ascii="T_Times NR" w:hAnsi="T_Times NR"/>
                <w:b/>
                <w:color w:val="000000" w:themeColor="text1"/>
              </w:rPr>
            </w:pPr>
          </w:p>
          <w:p w:rsidR="000050DF" w:rsidRPr="000050DF" w:rsidRDefault="000050DF" w:rsidP="009B4C99">
            <w:pPr>
              <w:jc w:val="center"/>
              <w:rPr>
                <w:color w:val="000000" w:themeColor="text1"/>
                <w:sz w:val="22"/>
                <w:szCs w:val="22"/>
                <w:lang w:val="tt-RU"/>
              </w:rPr>
            </w:pPr>
            <w:r w:rsidRPr="000050DF">
              <w:rPr>
                <w:color w:val="000000" w:themeColor="text1"/>
                <w:sz w:val="22"/>
                <w:szCs w:val="22"/>
                <w:lang w:val="tt-RU"/>
              </w:rPr>
              <w:t>ул.Школьная, 10, село Большие Нырси, 422094, Тел.: (884360)53-1-25(факс)</w:t>
            </w:r>
          </w:p>
          <w:p w:rsidR="000050DF" w:rsidRDefault="000050DF" w:rsidP="009B4C99">
            <w:pPr>
              <w:jc w:val="center"/>
              <w:rPr>
                <w:b/>
                <w:color w:val="000000" w:themeColor="text1"/>
                <w:lang w:val="en-US"/>
              </w:rPr>
            </w:pPr>
            <w:proofErr w:type="gramStart"/>
            <w:r w:rsidRPr="000050DF">
              <w:rPr>
                <w:color w:val="000000" w:themeColor="text1"/>
                <w:sz w:val="22"/>
                <w:szCs w:val="22"/>
              </w:rPr>
              <w:t>Е</w:t>
            </w:r>
            <w:proofErr w:type="gramEnd"/>
            <w:r w:rsidRPr="000050DF">
              <w:rPr>
                <w:color w:val="000000" w:themeColor="text1"/>
                <w:sz w:val="22"/>
                <w:szCs w:val="22"/>
                <w:lang w:val="en-US"/>
              </w:rPr>
              <w:t xml:space="preserve">-mail: </w:t>
            </w:r>
            <w:hyperlink r:id="rId6" w:history="1">
              <w:r w:rsidRPr="000050DF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Bnrs.Tul@tatar.ru</w:t>
              </w:r>
            </w:hyperlink>
          </w:p>
        </w:tc>
        <w:tc>
          <w:tcPr>
            <w:tcW w:w="1615" w:type="dxa"/>
          </w:tcPr>
          <w:p w:rsidR="000050DF" w:rsidRDefault="000050DF" w:rsidP="009B4C99">
            <w:pPr>
              <w:jc w:val="center"/>
              <w:rPr>
                <w:rFonts w:ascii="Tatar Pragmatica" w:hAnsi="Tatar Pragmatica"/>
                <w:b/>
                <w:color w:val="000000" w:themeColor="text1"/>
                <w:lang w:val="en-US"/>
              </w:rPr>
            </w:pPr>
          </w:p>
          <w:p w:rsidR="000050DF" w:rsidRDefault="000050DF" w:rsidP="009B4C99">
            <w:pPr>
              <w:ind w:left="-142"/>
              <w:jc w:val="center"/>
              <w:rPr>
                <w:rFonts w:ascii="Tatar Pragmatica" w:hAnsi="Tatar Pragmatica"/>
                <w:b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6B3558C8" wp14:editId="789BD642">
                  <wp:extent cx="1003300" cy="11303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:rsidR="000050DF" w:rsidRDefault="000050DF" w:rsidP="009B4C99">
            <w:pPr>
              <w:pStyle w:val="3"/>
              <w:spacing w:line="240" w:lineRule="auto"/>
              <w:jc w:val="center"/>
              <w:rPr>
                <w:rFonts w:ascii="T_Times NR" w:hAnsi="T_Times NR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_Times NR" w:hAnsi="T_Times NR"/>
                <w:b w:val="0"/>
                <w:color w:val="000000" w:themeColor="text1"/>
              </w:rPr>
              <w:t>ТАТАРСТАН РЕСПУБЛИКАСЫ</w:t>
            </w:r>
          </w:p>
          <w:p w:rsidR="000050DF" w:rsidRDefault="000050DF" w:rsidP="009B4C99">
            <w:pPr>
              <w:pStyle w:val="1"/>
              <w:rPr>
                <w:rFonts w:ascii="T_Times NR" w:hAnsi="T_Times NR"/>
                <w:color w:val="000000" w:themeColor="text1"/>
              </w:rPr>
            </w:pPr>
          </w:p>
          <w:p w:rsidR="000050DF" w:rsidRPr="000050DF" w:rsidRDefault="000050DF" w:rsidP="009B4C99">
            <w:pPr>
              <w:pStyle w:val="1"/>
              <w:rPr>
                <w:rFonts w:ascii="T_Times NR" w:hAnsi="T_Times NR"/>
                <w:color w:val="000000" w:themeColor="text1"/>
                <w:sz w:val="22"/>
                <w:szCs w:val="22"/>
              </w:rPr>
            </w:pPr>
            <w:r w:rsidRPr="000050DF">
              <w:rPr>
                <w:rFonts w:ascii="T_Times NR" w:hAnsi="T_Times NR"/>
                <w:color w:val="000000" w:themeColor="text1"/>
                <w:sz w:val="22"/>
                <w:szCs w:val="22"/>
              </w:rPr>
              <w:t>ТЕЛӘЧЕ</w:t>
            </w:r>
          </w:p>
          <w:p w:rsidR="000050DF" w:rsidRPr="000050DF" w:rsidRDefault="000050DF" w:rsidP="009B4C99">
            <w:pPr>
              <w:pStyle w:val="1"/>
              <w:rPr>
                <w:rFonts w:ascii="T_Times NR" w:hAnsi="T_Times NR"/>
                <w:color w:val="000000" w:themeColor="text1"/>
                <w:sz w:val="22"/>
                <w:szCs w:val="22"/>
              </w:rPr>
            </w:pPr>
            <w:r w:rsidRPr="000050DF">
              <w:rPr>
                <w:rFonts w:ascii="T_Times NR" w:hAnsi="T_Times NR"/>
                <w:color w:val="000000" w:themeColor="text1"/>
                <w:sz w:val="22"/>
                <w:szCs w:val="22"/>
              </w:rPr>
              <w:t>МУНИЦИПАЛЬ РАЙОНЫ</w:t>
            </w:r>
          </w:p>
          <w:p w:rsidR="000050DF" w:rsidRPr="000050DF" w:rsidRDefault="000050DF" w:rsidP="009B4C99">
            <w:pPr>
              <w:jc w:val="center"/>
              <w:rPr>
                <w:rFonts w:ascii="T_Times NR" w:hAnsi="T_Times NR"/>
                <w:b/>
                <w:color w:val="000000" w:themeColor="text1"/>
                <w:sz w:val="22"/>
                <w:szCs w:val="22"/>
                <w:lang w:val="tt-RU"/>
              </w:rPr>
            </w:pPr>
            <w:r w:rsidRPr="000050DF">
              <w:rPr>
                <w:rFonts w:ascii="T_Times NR" w:hAnsi="T_Times NR"/>
                <w:b/>
                <w:color w:val="000000" w:themeColor="text1"/>
                <w:sz w:val="22"/>
                <w:szCs w:val="22"/>
              </w:rPr>
              <w:t>ОЛЫ НЫРСЫ</w:t>
            </w:r>
            <w:r w:rsidRPr="000050DF">
              <w:rPr>
                <w:rFonts w:ascii="T_Times NR" w:hAnsi="T_Times NR"/>
                <w:b/>
                <w:color w:val="000000" w:themeColor="text1"/>
                <w:sz w:val="22"/>
                <w:szCs w:val="22"/>
                <w:lang w:val="tt-RU"/>
              </w:rPr>
              <w:t xml:space="preserve"> АВЫЛЫ</w:t>
            </w:r>
          </w:p>
          <w:p w:rsidR="000050DF" w:rsidRPr="000050DF" w:rsidRDefault="000050DF" w:rsidP="009B4C99">
            <w:pPr>
              <w:jc w:val="center"/>
              <w:rPr>
                <w:rFonts w:ascii="T_Times NR" w:hAnsi="T_Times NR"/>
                <w:b/>
                <w:color w:val="000000" w:themeColor="text1"/>
                <w:sz w:val="22"/>
                <w:szCs w:val="22"/>
                <w:lang w:val="tt-RU"/>
              </w:rPr>
            </w:pPr>
            <w:r w:rsidRPr="000050DF">
              <w:rPr>
                <w:rFonts w:ascii="T_Times NR" w:hAnsi="T_Times NR"/>
                <w:b/>
                <w:color w:val="000000" w:themeColor="text1"/>
                <w:sz w:val="22"/>
                <w:szCs w:val="22"/>
                <w:lang w:val="tt-RU"/>
              </w:rPr>
              <w:t>БАШКАРМА КОМИТЕТЫ</w:t>
            </w:r>
          </w:p>
          <w:p w:rsidR="000050DF" w:rsidRPr="000050DF" w:rsidRDefault="000050DF" w:rsidP="009B4C99">
            <w:pPr>
              <w:jc w:val="center"/>
              <w:rPr>
                <w:rFonts w:ascii="T_Times NR" w:hAnsi="T_Times NR"/>
                <w:b/>
                <w:color w:val="000000" w:themeColor="text1"/>
                <w:sz w:val="22"/>
                <w:szCs w:val="22"/>
                <w:lang w:val="tt-RU"/>
              </w:rPr>
            </w:pPr>
            <w:r w:rsidRPr="000050DF">
              <w:rPr>
                <w:rFonts w:ascii="T_Times NR" w:hAnsi="T_Times NR"/>
                <w:b/>
                <w:color w:val="000000" w:themeColor="text1"/>
                <w:sz w:val="22"/>
                <w:szCs w:val="22"/>
                <w:lang w:val="tt-RU"/>
              </w:rPr>
              <w:t>ҖИТӘКЧЕСЕ</w:t>
            </w:r>
          </w:p>
          <w:p w:rsidR="000050DF" w:rsidRDefault="000050DF" w:rsidP="009B4C99">
            <w:pPr>
              <w:jc w:val="center"/>
              <w:rPr>
                <w:rFonts w:ascii="T_Times NR" w:hAnsi="T_Times NR"/>
                <w:b/>
                <w:color w:val="000000" w:themeColor="text1"/>
                <w:lang w:val="tt-RU"/>
              </w:rPr>
            </w:pPr>
          </w:p>
          <w:p w:rsidR="000050DF" w:rsidRDefault="000050DF" w:rsidP="009B4C99">
            <w:pPr>
              <w:jc w:val="center"/>
              <w:rPr>
                <w:color w:val="000000" w:themeColor="text1"/>
                <w:sz w:val="22"/>
                <w:szCs w:val="22"/>
                <w:lang w:val="tt-RU"/>
              </w:rPr>
            </w:pPr>
          </w:p>
          <w:p w:rsidR="000050DF" w:rsidRPr="000050DF" w:rsidRDefault="000050DF" w:rsidP="009B4C99">
            <w:pPr>
              <w:jc w:val="center"/>
              <w:rPr>
                <w:color w:val="000000" w:themeColor="text1"/>
                <w:sz w:val="22"/>
                <w:szCs w:val="22"/>
                <w:lang w:val="tt-RU"/>
              </w:rPr>
            </w:pPr>
            <w:r w:rsidRPr="000050DF">
              <w:rPr>
                <w:color w:val="000000" w:themeColor="text1"/>
                <w:sz w:val="22"/>
                <w:szCs w:val="22"/>
                <w:lang w:val="tt-RU"/>
              </w:rPr>
              <w:t>Мәктәп урамы, 10 Олы Нырсы авылы,  422094 Тел.: (884360)53-1-25(факс)</w:t>
            </w:r>
          </w:p>
          <w:p w:rsidR="000050DF" w:rsidRPr="00EE2F93" w:rsidRDefault="000050DF" w:rsidP="009B4C99">
            <w:pPr>
              <w:jc w:val="center"/>
              <w:rPr>
                <w:color w:val="000000" w:themeColor="text1"/>
                <w:lang w:val="en-US"/>
              </w:rPr>
            </w:pPr>
            <w:proofErr w:type="gramStart"/>
            <w:r w:rsidRPr="000050DF">
              <w:rPr>
                <w:color w:val="000000" w:themeColor="text1"/>
                <w:sz w:val="22"/>
                <w:szCs w:val="22"/>
              </w:rPr>
              <w:t>Е</w:t>
            </w:r>
            <w:proofErr w:type="gramEnd"/>
            <w:r w:rsidRPr="000050DF">
              <w:rPr>
                <w:color w:val="000000" w:themeColor="text1"/>
                <w:sz w:val="22"/>
                <w:szCs w:val="22"/>
                <w:lang w:val="en-US"/>
              </w:rPr>
              <w:t xml:space="preserve">-mail: </w:t>
            </w:r>
            <w:hyperlink r:id="rId8" w:history="1">
              <w:r w:rsidRPr="000050DF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Bnrs.Tul@tatar.ru</w:t>
              </w:r>
            </w:hyperlink>
          </w:p>
        </w:tc>
      </w:tr>
      <w:tr w:rsidR="000050DF" w:rsidTr="000050DF">
        <w:trPr>
          <w:trHeight w:val="214"/>
        </w:trPr>
        <w:tc>
          <w:tcPr>
            <w:tcW w:w="105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050DF" w:rsidRDefault="000050DF" w:rsidP="009B4C99">
            <w:pPr>
              <w:jc w:val="center"/>
              <w:rPr>
                <w:lang w:val="tt-RU"/>
              </w:rPr>
            </w:pPr>
          </w:p>
          <w:p w:rsidR="000050DF" w:rsidRDefault="000050DF" w:rsidP="009B4C99">
            <w:pPr>
              <w:jc w:val="center"/>
              <w:rPr>
                <w:rFonts w:ascii="Calibri" w:hAnsi="Calibri"/>
                <w:b/>
              </w:rPr>
            </w:pPr>
            <w:r>
              <w:rPr>
                <w:sz w:val="22"/>
                <w:szCs w:val="22"/>
              </w:rPr>
              <w:t>ОКПО 94318116 ОГРН 1061675010847 ИНН/КПП 1619004450/161901001</w:t>
            </w:r>
          </w:p>
        </w:tc>
      </w:tr>
      <w:tr w:rsidR="000050DF" w:rsidTr="000050DF">
        <w:trPr>
          <w:trHeight w:val="1004"/>
        </w:trPr>
        <w:tc>
          <w:tcPr>
            <w:tcW w:w="1057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50DF" w:rsidRDefault="000050DF" w:rsidP="009B4C99">
            <w:pPr>
              <w:spacing w:line="276" w:lineRule="auto"/>
            </w:pPr>
          </w:p>
          <w:tbl>
            <w:tblPr>
              <w:tblW w:w="10230" w:type="dxa"/>
              <w:tblInd w:w="432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67"/>
            </w:tblGrid>
            <w:tr w:rsidR="000050DF" w:rsidTr="009B4C99">
              <w:tc>
                <w:tcPr>
                  <w:tcW w:w="3417" w:type="dxa"/>
                  <w:hideMark/>
                </w:tcPr>
                <w:p w:rsidR="000050DF" w:rsidRDefault="000050DF" w:rsidP="009B4C99">
                  <w:pPr>
                    <w:tabs>
                      <w:tab w:val="left" w:pos="6697"/>
                    </w:tabs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 </w:t>
                  </w:r>
                  <w:r>
                    <w:rPr>
                      <w:b/>
                    </w:rPr>
                    <w:tab/>
                  </w:r>
                </w:p>
                <w:p w:rsidR="000050DF" w:rsidRDefault="000050DF" w:rsidP="000050DF">
                  <w:pPr>
                    <w:spacing w:line="276" w:lineRule="auto"/>
                    <w:rPr>
                      <w:b/>
                      <w:sz w:val="16"/>
                    </w:rPr>
                  </w:pPr>
                  <w:r>
                    <w:rPr>
                      <w:b/>
                    </w:rPr>
                    <w:t>№</w:t>
                  </w: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2846" w:type="dxa"/>
                </w:tcPr>
                <w:p w:rsidR="000050DF" w:rsidRDefault="000050DF" w:rsidP="009B4C99">
                  <w:pPr>
                    <w:spacing w:line="276" w:lineRule="auto"/>
                    <w:rPr>
                      <w:b/>
                      <w:sz w:val="16"/>
                    </w:rPr>
                  </w:pPr>
                </w:p>
              </w:tc>
              <w:tc>
                <w:tcPr>
                  <w:tcW w:w="3967" w:type="dxa"/>
                </w:tcPr>
                <w:p w:rsidR="000050DF" w:rsidRDefault="000050DF" w:rsidP="009B4C99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КАРАР                </w:t>
                  </w:r>
                </w:p>
                <w:p w:rsidR="000050DF" w:rsidRDefault="000050DF" w:rsidP="009B4C99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«25»</w:t>
                  </w:r>
                  <w:r>
                    <w:rPr>
                      <w:b/>
                    </w:rPr>
                    <w:t>августа</w:t>
                  </w:r>
                  <w:r>
                    <w:rPr>
                      <w:b/>
                    </w:rPr>
                    <w:t xml:space="preserve"> 2015 г.</w:t>
                  </w:r>
                </w:p>
                <w:p w:rsidR="000050DF" w:rsidRDefault="000050DF" w:rsidP="009B4C99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0050DF" w:rsidRDefault="000050DF" w:rsidP="009B4C99">
            <w:pPr>
              <w:spacing w:line="276" w:lineRule="auto"/>
              <w:rPr>
                <w:b/>
              </w:rPr>
            </w:pPr>
          </w:p>
        </w:tc>
      </w:tr>
    </w:tbl>
    <w:p w:rsidR="00C3030D" w:rsidRPr="002A28A5" w:rsidRDefault="00C3030D" w:rsidP="00C3030D">
      <w:pPr>
        <w:shd w:val="clear" w:color="auto" w:fill="FFFFFF"/>
        <w:contextualSpacing/>
        <w:jc w:val="center"/>
        <w:outlineLvl w:val="1"/>
        <w:rPr>
          <w:bCs/>
          <w:color w:val="000000"/>
          <w:sz w:val="28"/>
          <w:szCs w:val="28"/>
        </w:rPr>
      </w:pPr>
      <w:r w:rsidRPr="002A28A5">
        <w:rPr>
          <w:bCs/>
          <w:color w:val="000000"/>
          <w:sz w:val="28"/>
          <w:szCs w:val="28"/>
        </w:rPr>
        <w:t xml:space="preserve">Об утверждении Правил присвоения,  изменения и аннулирования адресов на территории </w:t>
      </w:r>
      <w:proofErr w:type="spellStart"/>
      <w:r w:rsidR="002A28A5">
        <w:rPr>
          <w:bCs/>
          <w:color w:val="000000"/>
          <w:sz w:val="28"/>
          <w:szCs w:val="28"/>
        </w:rPr>
        <w:t>Большенырсинского</w:t>
      </w:r>
      <w:proofErr w:type="spellEnd"/>
      <w:r w:rsidRPr="002A28A5">
        <w:rPr>
          <w:bCs/>
          <w:color w:val="000000"/>
          <w:sz w:val="28"/>
          <w:szCs w:val="28"/>
        </w:rPr>
        <w:t xml:space="preserve"> сельского поселения Тюлячинского  муниципального района  Республики Татарстан</w:t>
      </w:r>
    </w:p>
    <w:p w:rsidR="00C3030D" w:rsidRPr="002A28A5" w:rsidRDefault="00C3030D" w:rsidP="00C3030D">
      <w:pPr>
        <w:rPr>
          <w:rStyle w:val="FontStyle26"/>
          <w:color w:val="000000"/>
        </w:rPr>
      </w:pPr>
    </w:p>
    <w:p w:rsidR="00C3030D" w:rsidRPr="002A28A5" w:rsidRDefault="00C3030D" w:rsidP="00C3030D">
      <w:pPr>
        <w:ind w:firstLine="448"/>
        <w:jc w:val="both"/>
        <w:rPr>
          <w:color w:val="000000"/>
          <w:sz w:val="28"/>
          <w:szCs w:val="28"/>
        </w:rPr>
      </w:pPr>
      <w:r w:rsidRPr="002A28A5">
        <w:rPr>
          <w:color w:val="000000"/>
          <w:sz w:val="28"/>
          <w:szCs w:val="28"/>
        </w:rPr>
        <w:t xml:space="preserve">В соответствии с Федеральным законом от 28 декабря 2013 года №443-ФЗ «О федеральной информационной адресной системе и о внесении изменений в Федеральный закон от 6 октября 2003года №131-ФЗ «Об общих принципах местного самоуправления в Российской Федерации», </w:t>
      </w:r>
    </w:p>
    <w:p w:rsidR="00C3030D" w:rsidRPr="002A28A5" w:rsidRDefault="00C3030D" w:rsidP="00C3030D">
      <w:pPr>
        <w:ind w:firstLine="448"/>
        <w:jc w:val="both"/>
        <w:rPr>
          <w:color w:val="000000"/>
          <w:sz w:val="28"/>
          <w:szCs w:val="28"/>
        </w:rPr>
      </w:pPr>
    </w:p>
    <w:p w:rsidR="00C3030D" w:rsidRPr="002A28A5" w:rsidRDefault="00C3030D" w:rsidP="00C3030D">
      <w:pPr>
        <w:ind w:firstLine="448"/>
        <w:jc w:val="center"/>
        <w:rPr>
          <w:color w:val="000000"/>
          <w:sz w:val="28"/>
          <w:szCs w:val="28"/>
        </w:rPr>
      </w:pPr>
      <w:r w:rsidRPr="002A28A5">
        <w:rPr>
          <w:color w:val="000000"/>
          <w:sz w:val="28"/>
          <w:szCs w:val="28"/>
        </w:rPr>
        <w:t>ПОСТАНОВЛЯЮ:</w:t>
      </w:r>
    </w:p>
    <w:p w:rsidR="00C3030D" w:rsidRPr="002A28A5" w:rsidRDefault="00C3030D" w:rsidP="00C3030D">
      <w:pPr>
        <w:jc w:val="both"/>
        <w:rPr>
          <w:color w:val="000000"/>
          <w:sz w:val="28"/>
          <w:szCs w:val="28"/>
        </w:rPr>
      </w:pPr>
    </w:p>
    <w:p w:rsidR="00C3030D" w:rsidRPr="002A28A5" w:rsidRDefault="00C3030D" w:rsidP="00C3030D">
      <w:pPr>
        <w:shd w:val="clear" w:color="auto" w:fill="FFFFFF"/>
        <w:ind w:firstLine="448"/>
        <w:jc w:val="both"/>
        <w:rPr>
          <w:color w:val="000000"/>
          <w:sz w:val="28"/>
          <w:szCs w:val="28"/>
        </w:rPr>
      </w:pPr>
      <w:r w:rsidRPr="002A28A5">
        <w:rPr>
          <w:color w:val="000000"/>
          <w:sz w:val="28"/>
          <w:szCs w:val="28"/>
        </w:rPr>
        <w:t xml:space="preserve">1. Утвердить Правила присвоения, изменения и аннулирования адресов на территории </w:t>
      </w:r>
      <w:proofErr w:type="spellStart"/>
      <w:r w:rsidR="002A28A5">
        <w:rPr>
          <w:color w:val="000000"/>
          <w:sz w:val="28"/>
          <w:szCs w:val="28"/>
        </w:rPr>
        <w:t>Большенырсинского</w:t>
      </w:r>
      <w:proofErr w:type="spellEnd"/>
      <w:r w:rsidRPr="002A28A5">
        <w:rPr>
          <w:color w:val="000000"/>
          <w:sz w:val="28"/>
          <w:szCs w:val="28"/>
        </w:rPr>
        <w:t xml:space="preserve"> сельского поселения Тюлячинского муниципального района Республики Татарстан согласно приложению.</w:t>
      </w:r>
    </w:p>
    <w:p w:rsidR="00C3030D" w:rsidRPr="002A28A5" w:rsidRDefault="00C3030D" w:rsidP="00C3030D">
      <w:pPr>
        <w:shd w:val="clear" w:color="auto" w:fill="FFFFFF"/>
        <w:ind w:firstLine="448"/>
        <w:jc w:val="both"/>
        <w:rPr>
          <w:color w:val="000000"/>
          <w:sz w:val="28"/>
          <w:szCs w:val="28"/>
        </w:rPr>
      </w:pPr>
      <w:r w:rsidRPr="002A28A5">
        <w:rPr>
          <w:color w:val="000000"/>
          <w:sz w:val="28"/>
          <w:szCs w:val="28"/>
        </w:rPr>
        <w:t>2. Настоящее постановление вступает в силу с момента подписания, и подлежать  обнародовать в соответствии с действующим законодательством.</w:t>
      </w:r>
    </w:p>
    <w:p w:rsidR="00C3030D" w:rsidRPr="002A28A5" w:rsidRDefault="00C3030D" w:rsidP="00C3030D">
      <w:pPr>
        <w:shd w:val="clear" w:color="auto" w:fill="FFFFFF"/>
        <w:ind w:firstLine="448"/>
        <w:jc w:val="both"/>
        <w:rPr>
          <w:color w:val="000000"/>
          <w:sz w:val="28"/>
          <w:szCs w:val="28"/>
        </w:rPr>
      </w:pPr>
      <w:r w:rsidRPr="002A28A5">
        <w:rPr>
          <w:color w:val="000000"/>
          <w:sz w:val="28"/>
          <w:szCs w:val="28"/>
        </w:rPr>
        <w:t xml:space="preserve"> 3. </w:t>
      </w:r>
      <w:proofErr w:type="gramStart"/>
      <w:r w:rsidRPr="002A28A5">
        <w:rPr>
          <w:color w:val="000000"/>
          <w:sz w:val="28"/>
          <w:szCs w:val="28"/>
        </w:rPr>
        <w:t>Контроль за</w:t>
      </w:r>
      <w:proofErr w:type="gramEnd"/>
      <w:r w:rsidRPr="002A28A5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C3030D" w:rsidRPr="002A28A5" w:rsidRDefault="00C3030D" w:rsidP="00C3030D">
      <w:pPr>
        <w:shd w:val="clear" w:color="auto" w:fill="FFFFFF"/>
        <w:ind w:firstLine="448"/>
        <w:jc w:val="both"/>
        <w:rPr>
          <w:color w:val="000000"/>
          <w:sz w:val="28"/>
          <w:szCs w:val="28"/>
        </w:rPr>
      </w:pPr>
      <w:r w:rsidRPr="002A28A5">
        <w:rPr>
          <w:color w:val="000000"/>
          <w:sz w:val="28"/>
          <w:szCs w:val="28"/>
        </w:rPr>
        <w:t> </w:t>
      </w:r>
    </w:p>
    <w:p w:rsidR="00C3030D" w:rsidRPr="002A28A5" w:rsidRDefault="00C3030D" w:rsidP="00C3030D">
      <w:pPr>
        <w:ind w:left="708"/>
        <w:rPr>
          <w:bCs/>
          <w:color w:val="000000"/>
          <w:spacing w:val="-7"/>
          <w:sz w:val="28"/>
          <w:szCs w:val="28"/>
        </w:rPr>
      </w:pPr>
    </w:p>
    <w:p w:rsidR="00C3030D" w:rsidRPr="002A28A5" w:rsidRDefault="00C3030D" w:rsidP="00C3030D">
      <w:pPr>
        <w:ind w:left="708"/>
        <w:rPr>
          <w:bCs/>
          <w:color w:val="000000"/>
          <w:spacing w:val="-7"/>
          <w:sz w:val="28"/>
          <w:szCs w:val="28"/>
        </w:rPr>
      </w:pPr>
    </w:p>
    <w:p w:rsidR="00C3030D" w:rsidRPr="002A28A5" w:rsidRDefault="00C3030D" w:rsidP="00C3030D">
      <w:pPr>
        <w:ind w:left="708"/>
        <w:rPr>
          <w:color w:val="000000"/>
          <w:sz w:val="28"/>
          <w:szCs w:val="28"/>
        </w:rPr>
      </w:pPr>
      <w:r w:rsidRPr="002A28A5">
        <w:rPr>
          <w:color w:val="000000"/>
          <w:sz w:val="28"/>
          <w:szCs w:val="28"/>
        </w:rPr>
        <w:t>Руководитель</w:t>
      </w:r>
      <w:r w:rsidRPr="002A28A5">
        <w:rPr>
          <w:color w:val="000000"/>
          <w:sz w:val="28"/>
          <w:szCs w:val="28"/>
        </w:rPr>
        <w:tab/>
      </w:r>
      <w:r w:rsidRPr="002A28A5">
        <w:rPr>
          <w:color w:val="000000"/>
          <w:sz w:val="28"/>
          <w:szCs w:val="28"/>
        </w:rPr>
        <w:tab/>
      </w:r>
      <w:r w:rsidRPr="002A28A5">
        <w:rPr>
          <w:color w:val="000000"/>
          <w:sz w:val="28"/>
          <w:szCs w:val="28"/>
        </w:rPr>
        <w:tab/>
      </w:r>
      <w:r w:rsidRPr="002A28A5">
        <w:rPr>
          <w:color w:val="000000"/>
          <w:sz w:val="28"/>
          <w:szCs w:val="28"/>
        </w:rPr>
        <w:tab/>
      </w:r>
      <w:r w:rsidRPr="002A28A5">
        <w:rPr>
          <w:color w:val="000000"/>
          <w:sz w:val="28"/>
          <w:szCs w:val="28"/>
        </w:rPr>
        <w:tab/>
      </w:r>
      <w:r w:rsidRPr="002A28A5">
        <w:rPr>
          <w:color w:val="000000"/>
          <w:sz w:val="28"/>
          <w:szCs w:val="28"/>
        </w:rPr>
        <w:tab/>
        <w:t xml:space="preserve">        </w:t>
      </w:r>
      <w:r w:rsidRPr="002A28A5">
        <w:rPr>
          <w:color w:val="000000"/>
          <w:sz w:val="28"/>
          <w:szCs w:val="28"/>
        </w:rPr>
        <w:tab/>
      </w:r>
      <w:proofErr w:type="spellStart"/>
      <w:r w:rsidR="002A28A5">
        <w:rPr>
          <w:color w:val="000000"/>
          <w:sz w:val="28"/>
          <w:szCs w:val="28"/>
        </w:rPr>
        <w:t>Р.Г.Гиниев</w:t>
      </w:r>
      <w:proofErr w:type="spellEnd"/>
    </w:p>
    <w:p w:rsidR="00C3030D" w:rsidRPr="002A28A5" w:rsidRDefault="00C3030D" w:rsidP="00C3030D">
      <w:pPr>
        <w:ind w:left="708"/>
        <w:rPr>
          <w:color w:val="000000"/>
          <w:sz w:val="28"/>
          <w:szCs w:val="28"/>
        </w:rPr>
      </w:pPr>
    </w:p>
    <w:p w:rsidR="00C3030D" w:rsidRPr="00BB457E" w:rsidRDefault="00C3030D" w:rsidP="00C3030D">
      <w:pPr>
        <w:ind w:left="708"/>
        <w:rPr>
          <w:color w:val="000000"/>
        </w:rPr>
      </w:pPr>
    </w:p>
    <w:p w:rsidR="00C3030D" w:rsidRPr="00BB457E" w:rsidRDefault="00C3030D" w:rsidP="00C3030D">
      <w:pPr>
        <w:ind w:left="708"/>
        <w:rPr>
          <w:color w:val="000000"/>
        </w:rPr>
      </w:pPr>
    </w:p>
    <w:p w:rsidR="00C3030D" w:rsidRPr="00BB457E" w:rsidRDefault="00C3030D" w:rsidP="00C3030D">
      <w:pPr>
        <w:ind w:left="708"/>
        <w:rPr>
          <w:color w:val="000000"/>
        </w:rPr>
      </w:pPr>
    </w:p>
    <w:p w:rsidR="00C3030D" w:rsidRPr="00BB457E" w:rsidRDefault="00C3030D" w:rsidP="00C3030D">
      <w:pPr>
        <w:ind w:left="708"/>
        <w:rPr>
          <w:color w:val="000000"/>
        </w:rPr>
      </w:pPr>
    </w:p>
    <w:p w:rsidR="00C3030D" w:rsidRPr="00BB457E" w:rsidRDefault="00C3030D" w:rsidP="00C3030D">
      <w:pPr>
        <w:ind w:left="708"/>
        <w:rPr>
          <w:color w:val="000000"/>
        </w:rPr>
      </w:pPr>
    </w:p>
    <w:p w:rsidR="00C3030D" w:rsidRPr="00BB457E" w:rsidRDefault="00C3030D" w:rsidP="00C3030D">
      <w:pPr>
        <w:ind w:left="708"/>
        <w:rPr>
          <w:color w:val="000000"/>
        </w:rPr>
      </w:pPr>
    </w:p>
    <w:p w:rsidR="00C3030D" w:rsidRPr="00BB457E" w:rsidRDefault="00C3030D" w:rsidP="00C3030D">
      <w:pPr>
        <w:ind w:left="708"/>
        <w:rPr>
          <w:color w:val="000000"/>
        </w:rPr>
      </w:pPr>
    </w:p>
    <w:p w:rsidR="00C3030D" w:rsidRPr="00BB457E" w:rsidRDefault="00C3030D" w:rsidP="00C3030D">
      <w:pPr>
        <w:ind w:left="708"/>
        <w:rPr>
          <w:color w:val="000000"/>
        </w:rPr>
      </w:pPr>
    </w:p>
    <w:p w:rsidR="00C3030D" w:rsidRPr="00BB457E" w:rsidRDefault="00C3030D" w:rsidP="00C3030D">
      <w:pPr>
        <w:ind w:left="708"/>
        <w:rPr>
          <w:color w:val="000000"/>
        </w:rPr>
      </w:pPr>
    </w:p>
    <w:p w:rsidR="00C3030D" w:rsidRPr="00BB457E" w:rsidRDefault="00C3030D" w:rsidP="00C3030D">
      <w:pPr>
        <w:ind w:left="5387"/>
        <w:rPr>
          <w:color w:val="000000"/>
        </w:rPr>
      </w:pPr>
      <w:r w:rsidRPr="00BB457E">
        <w:rPr>
          <w:color w:val="000000"/>
        </w:rPr>
        <w:lastRenderedPageBreak/>
        <w:t>Приложение №1</w:t>
      </w:r>
    </w:p>
    <w:p w:rsidR="00C3030D" w:rsidRPr="00BB457E" w:rsidRDefault="00C3030D" w:rsidP="00C3030D">
      <w:pPr>
        <w:ind w:left="5387"/>
        <w:rPr>
          <w:color w:val="000000"/>
        </w:rPr>
      </w:pPr>
      <w:r w:rsidRPr="00BB457E">
        <w:rPr>
          <w:color w:val="000000"/>
        </w:rPr>
        <w:t>к постановлению</w:t>
      </w:r>
    </w:p>
    <w:p w:rsidR="00C3030D" w:rsidRPr="00BB457E" w:rsidRDefault="00C3030D" w:rsidP="00C3030D">
      <w:pPr>
        <w:ind w:left="5387"/>
        <w:rPr>
          <w:color w:val="000000"/>
        </w:rPr>
      </w:pPr>
      <w:r w:rsidRPr="00BB457E">
        <w:rPr>
          <w:color w:val="000000"/>
        </w:rPr>
        <w:t xml:space="preserve"> руководителя исполнительного</w:t>
      </w:r>
    </w:p>
    <w:p w:rsidR="00C3030D" w:rsidRPr="00BB457E" w:rsidRDefault="00C3030D" w:rsidP="00C3030D">
      <w:pPr>
        <w:ind w:left="5387"/>
        <w:rPr>
          <w:color w:val="000000"/>
        </w:rPr>
      </w:pPr>
      <w:r w:rsidRPr="00BB457E">
        <w:rPr>
          <w:color w:val="000000"/>
        </w:rPr>
        <w:t xml:space="preserve">комитета </w:t>
      </w:r>
      <w:proofErr w:type="spellStart"/>
      <w:r w:rsidR="002A28A5">
        <w:rPr>
          <w:color w:val="000000"/>
        </w:rPr>
        <w:t>Большенырсинского</w:t>
      </w:r>
      <w:proofErr w:type="spellEnd"/>
    </w:p>
    <w:p w:rsidR="00C3030D" w:rsidRPr="00BB457E" w:rsidRDefault="00C3030D" w:rsidP="00C3030D">
      <w:pPr>
        <w:ind w:left="5387"/>
        <w:rPr>
          <w:color w:val="000000"/>
        </w:rPr>
      </w:pPr>
      <w:r w:rsidRPr="00BB457E">
        <w:rPr>
          <w:color w:val="000000"/>
        </w:rPr>
        <w:t xml:space="preserve">сельского поселения </w:t>
      </w:r>
    </w:p>
    <w:p w:rsidR="00C3030D" w:rsidRPr="00BB457E" w:rsidRDefault="00C3030D" w:rsidP="00C3030D">
      <w:pPr>
        <w:ind w:left="5387"/>
        <w:rPr>
          <w:color w:val="000000"/>
        </w:rPr>
      </w:pPr>
      <w:r w:rsidRPr="00BB457E">
        <w:rPr>
          <w:color w:val="000000"/>
        </w:rPr>
        <w:t xml:space="preserve">от </w:t>
      </w:r>
      <w:r w:rsidR="002A28A5">
        <w:rPr>
          <w:color w:val="000000"/>
        </w:rPr>
        <w:t xml:space="preserve">«25» августа </w:t>
      </w:r>
      <w:r w:rsidRPr="00BB457E">
        <w:rPr>
          <w:color w:val="000000"/>
        </w:rPr>
        <w:t xml:space="preserve"> № </w:t>
      </w:r>
      <w:r w:rsidR="002A28A5">
        <w:rPr>
          <w:color w:val="000000"/>
        </w:rPr>
        <w:t>16</w:t>
      </w:r>
      <w:bookmarkStart w:id="0" w:name="_GoBack"/>
      <w:bookmarkEnd w:id="0"/>
    </w:p>
    <w:p w:rsidR="00C3030D" w:rsidRPr="00BB457E" w:rsidRDefault="00C3030D" w:rsidP="00C3030D">
      <w:pPr>
        <w:jc w:val="right"/>
        <w:rPr>
          <w:color w:val="000000"/>
        </w:rPr>
      </w:pPr>
    </w:p>
    <w:p w:rsidR="00C3030D" w:rsidRPr="00BB457E" w:rsidRDefault="00C3030D" w:rsidP="00C3030D">
      <w:pPr>
        <w:pStyle w:val="a6"/>
        <w:spacing w:before="0" w:beforeAutospacing="0" w:after="0"/>
        <w:jc w:val="center"/>
        <w:textAlignment w:val="baseline"/>
        <w:rPr>
          <w:color w:val="000000"/>
          <w:sz w:val="28"/>
          <w:szCs w:val="28"/>
        </w:rPr>
      </w:pPr>
      <w:r w:rsidRPr="00BB457E">
        <w:rPr>
          <w:rStyle w:val="a7"/>
          <w:color w:val="000000"/>
          <w:sz w:val="28"/>
          <w:szCs w:val="28"/>
          <w:bdr w:val="none" w:sz="0" w:space="0" w:color="auto" w:frame="1"/>
        </w:rPr>
        <w:t>ПРАВИЛА</w:t>
      </w:r>
    </w:p>
    <w:p w:rsidR="00C3030D" w:rsidRPr="00BB457E" w:rsidRDefault="00C3030D" w:rsidP="00C3030D">
      <w:pPr>
        <w:pStyle w:val="a6"/>
        <w:spacing w:before="0" w:beforeAutospacing="0" w:after="0"/>
        <w:jc w:val="center"/>
        <w:textAlignment w:val="baseline"/>
        <w:rPr>
          <w:color w:val="000000"/>
          <w:sz w:val="28"/>
          <w:szCs w:val="28"/>
        </w:rPr>
      </w:pPr>
      <w:r w:rsidRPr="00BB457E">
        <w:rPr>
          <w:rStyle w:val="a7"/>
          <w:color w:val="000000"/>
          <w:sz w:val="28"/>
          <w:szCs w:val="28"/>
          <w:bdr w:val="none" w:sz="0" w:space="0" w:color="auto" w:frame="1"/>
        </w:rPr>
        <w:t>присвоения, изменения и аннулирования адресов</w:t>
      </w:r>
    </w:p>
    <w:p w:rsidR="00C3030D" w:rsidRPr="00BB457E" w:rsidRDefault="00C3030D" w:rsidP="00C3030D">
      <w:pPr>
        <w:pStyle w:val="a6"/>
        <w:spacing w:before="0" w:beforeAutospacing="0" w:after="0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rStyle w:val="a7"/>
          <w:color w:val="000000"/>
          <w:sz w:val="28"/>
          <w:szCs w:val="28"/>
          <w:bdr w:val="none" w:sz="0" w:space="0" w:color="auto" w:frame="1"/>
        </w:rPr>
        <w:t> </w:t>
      </w:r>
    </w:p>
    <w:p w:rsidR="00C3030D" w:rsidRPr="00BB457E" w:rsidRDefault="00C3030D" w:rsidP="00C3030D">
      <w:pPr>
        <w:pStyle w:val="a6"/>
        <w:spacing w:before="0" w:beforeAutospacing="0" w:after="0"/>
        <w:jc w:val="center"/>
        <w:textAlignment w:val="baseline"/>
        <w:rPr>
          <w:color w:val="000000"/>
          <w:sz w:val="28"/>
          <w:szCs w:val="28"/>
        </w:rPr>
      </w:pPr>
      <w:r w:rsidRPr="00BB457E">
        <w:rPr>
          <w:rStyle w:val="a7"/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2. Понятия, используемые в настоящих Правилах, означают следующее: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 xml:space="preserve"> </w:t>
      </w:r>
      <w:proofErr w:type="gramStart"/>
      <w:r w:rsidRPr="00BB457E">
        <w:rPr>
          <w:color w:val="000000"/>
          <w:sz w:val="28"/>
          <w:szCs w:val="28"/>
        </w:rPr>
        <w:t>«</w:t>
      </w:r>
      <w:proofErr w:type="spellStart"/>
      <w:r w:rsidRPr="00BB457E">
        <w:rPr>
          <w:color w:val="000000"/>
          <w:sz w:val="28"/>
          <w:szCs w:val="28"/>
        </w:rPr>
        <w:t>адресообразующие</w:t>
      </w:r>
      <w:proofErr w:type="spellEnd"/>
      <w:r w:rsidRPr="00BB457E">
        <w:rPr>
          <w:color w:val="000000"/>
          <w:sz w:val="28"/>
          <w:szCs w:val="28"/>
        </w:rPr>
        <w:t xml:space="preserve"> элементы» —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«идентификационные элементы объекта адресации» – номер земельного участка, типы и номера зданий (сооружений), помещений и объектов незавершенного строительства;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«уникальный номер адреса объекта адресации в государственном адресном реестре» — номер записи, который присваивается адресу объекта адресации в государственном адресном реестре;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B457E">
        <w:rPr>
          <w:color w:val="000000"/>
          <w:sz w:val="28"/>
          <w:szCs w:val="28"/>
        </w:rPr>
        <w:t>«элемент планировочной структуры» — зона (массив), район (в том числе жилой район, микрорайон, квартал, промышленный  район),</w:t>
      </w:r>
      <w:proofErr w:type="gramEnd"/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территории  размещения садоводческих, огороднических и дачных некоммерческих объединений;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B457E">
        <w:rPr>
          <w:color w:val="000000"/>
          <w:sz w:val="28"/>
          <w:szCs w:val="28"/>
        </w:rPr>
        <w:t>«элемент улично-дорожной сети» — улица, проспект, переулок, проезд, набережная, площадь, бульвар, тупик, съезд, шоссе, аллея и иное.</w:t>
      </w:r>
      <w:proofErr w:type="gramEnd"/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 xml:space="preserve">а) уникальность. </w:t>
      </w:r>
      <w:proofErr w:type="gramStart"/>
      <w:r w:rsidRPr="00BB457E">
        <w:rPr>
          <w:color w:val="000000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 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lastRenderedPageBreak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C3030D" w:rsidRPr="00BB457E" w:rsidRDefault="00C3030D" w:rsidP="00C3030D">
      <w:pPr>
        <w:pStyle w:val="a6"/>
        <w:spacing w:before="0" w:beforeAutospacing="0" w:after="0"/>
        <w:jc w:val="center"/>
        <w:textAlignment w:val="baseline"/>
        <w:rPr>
          <w:color w:val="000000"/>
          <w:sz w:val="28"/>
          <w:szCs w:val="28"/>
        </w:rPr>
      </w:pPr>
      <w:r w:rsidRPr="00BB457E">
        <w:rPr>
          <w:rStyle w:val="a7"/>
          <w:color w:val="000000"/>
          <w:sz w:val="28"/>
          <w:szCs w:val="28"/>
          <w:bdr w:val="none" w:sz="0" w:space="0" w:color="auto" w:frame="1"/>
        </w:rPr>
        <w:t>II. Порядок присвоения объекту адресации адреса, изменения и аннулирования такого адреса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 xml:space="preserve">6. </w:t>
      </w:r>
      <w:proofErr w:type="gramStart"/>
      <w:r w:rsidRPr="00BB457E">
        <w:rPr>
          <w:color w:val="000000"/>
          <w:sz w:val="28"/>
          <w:szCs w:val="28"/>
        </w:rPr>
        <w:t>Присвоение объекту адресации адреса, изменение и аннулирование  такого адреса осуществляется органами местного самоуправления, органами государственной власти субъектов Российской Федерации —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— уполномоченные органы), с использованием федеральной информационной адресной системы.</w:t>
      </w:r>
      <w:proofErr w:type="gramEnd"/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BB457E">
        <w:rPr>
          <w:color w:val="000000"/>
          <w:sz w:val="28"/>
          <w:szCs w:val="28"/>
        </w:rPr>
        <w:t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  указанным  в  пунктах 1 и 3 части 2 статьи 27 Федерального  закона  «О государственном  кадастре недвижимости», предоставляемой в установленном Правительством Российской Федерации</w:t>
      </w:r>
      <w:proofErr w:type="gramEnd"/>
      <w:r w:rsidRPr="00BB457E">
        <w:rPr>
          <w:color w:val="000000"/>
          <w:sz w:val="28"/>
          <w:szCs w:val="28"/>
        </w:rPr>
        <w:t xml:space="preserve"> </w:t>
      </w:r>
      <w:proofErr w:type="gramStart"/>
      <w:r w:rsidRPr="00BB457E">
        <w:rPr>
          <w:color w:val="000000"/>
          <w:sz w:val="28"/>
          <w:szCs w:val="28"/>
        </w:rPr>
        <w:t>порядке</w:t>
      </w:r>
      <w:proofErr w:type="gramEnd"/>
      <w:r w:rsidRPr="00BB457E">
        <w:rPr>
          <w:color w:val="000000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BB457E">
        <w:rPr>
          <w:color w:val="000000"/>
          <w:sz w:val="28"/>
          <w:szCs w:val="28"/>
        </w:rPr>
        <w:t>адресообразующим</w:t>
      </w:r>
      <w:proofErr w:type="spellEnd"/>
      <w:r w:rsidRPr="00BB457E">
        <w:rPr>
          <w:color w:val="000000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8. Присвоение объекту адресации адреса осуществляется: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а) в отношении земельных участков в случаях: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BB457E">
        <w:rPr>
          <w:color w:val="000000"/>
          <w:sz w:val="28"/>
          <w:szCs w:val="28"/>
        </w:rPr>
        <w:t>отношении</w:t>
      </w:r>
      <w:proofErr w:type="gramEnd"/>
      <w:r w:rsidRPr="00BB457E">
        <w:rPr>
          <w:color w:val="000000"/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B457E">
        <w:rPr>
          <w:color w:val="000000"/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C3030D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выдачи (получения) разрешения на строи</w:t>
      </w:r>
      <w:r>
        <w:rPr>
          <w:color w:val="000000"/>
          <w:sz w:val="28"/>
          <w:szCs w:val="28"/>
        </w:rPr>
        <w:t>тельство здания или сооружения;</w:t>
      </w:r>
    </w:p>
    <w:p w:rsidR="00C3030D" w:rsidRPr="00BB457E" w:rsidRDefault="00C3030D" w:rsidP="002A28A5">
      <w:pPr>
        <w:pStyle w:val="a6"/>
        <w:spacing w:before="0" w:beforeAutospacing="0" w:after="100" w:afterAutospacing="1"/>
        <w:ind w:firstLine="426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B457E">
        <w:rPr>
          <w:color w:val="000000"/>
          <w:sz w:val="28"/>
          <w:szCs w:val="28"/>
        </w:rPr>
        <w:t xml:space="preserve">выполнения в отношении здания, сооружения и объекта незавершенного </w:t>
      </w:r>
      <w:r>
        <w:rPr>
          <w:color w:val="000000"/>
          <w:sz w:val="28"/>
          <w:szCs w:val="28"/>
        </w:rPr>
        <w:t>с</w:t>
      </w:r>
      <w:r w:rsidRPr="00BB457E">
        <w:rPr>
          <w:color w:val="000000"/>
          <w:sz w:val="28"/>
          <w:szCs w:val="28"/>
        </w:rPr>
        <w:t>троительства в соответствии с требованиями,</w:t>
      </w:r>
      <w:r>
        <w:rPr>
          <w:color w:val="000000"/>
          <w:sz w:val="28"/>
          <w:szCs w:val="28"/>
        </w:rPr>
        <w:t xml:space="preserve"> ус</w:t>
      </w:r>
      <w:r w:rsidRPr="00BB457E">
        <w:rPr>
          <w:color w:val="000000"/>
          <w:sz w:val="28"/>
          <w:szCs w:val="28"/>
        </w:rPr>
        <w:t xml:space="preserve">тановленными  Федеральным  законом  «О государственном кадастре </w:t>
      </w:r>
      <w:r w:rsidRPr="00BB457E">
        <w:rPr>
          <w:color w:val="000000"/>
          <w:sz w:val="28"/>
          <w:szCs w:val="28"/>
        </w:rPr>
        <w:lastRenderedPageBreak/>
        <w:t>недвижимости», работ,   в результате которых обеспечивается подготовка документов, содержащих 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  незавершенного строительства на государственный кадастровый учет (в случае, если в соответствии</w:t>
      </w:r>
      <w:proofErr w:type="gramEnd"/>
      <w:r w:rsidRPr="00BB457E">
        <w:rPr>
          <w:color w:val="000000"/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в) в отношении помещений в случаях: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  здания, сооружения и объекты незавершенного строительства.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10. В случае</w:t>
      </w:r>
      <w:proofErr w:type="gramStart"/>
      <w:r w:rsidRPr="00BB457E">
        <w:rPr>
          <w:color w:val="000000"/>
          <w:sz w:val="28"/>
          <w:szCs w:val="28"/>
        </w:rPr>
        <w:t>,</w:t>
      </w:r>
      <w:proofErr w:type="gramEnd"/>
      <w:r w:rsidRPr="00BB457E">
        <w:rPr>
          <w:color w:val="000000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 xml:space="preserve">12. </w:t>
      </w:r>
      <w:proofErr w:type="gramStart"/>
      <w:r w:rsidRPr="00BB457E">
        <w:rPr>
          <w:color w:val="000000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  наименований в соответствии с порядком ведения государственного адресного</w:t>
      </w:r>
      <w:proofErr w:type="gramEnd"/>
      <w:r w:rsidRPr="00BB457E">
        <w:rPr>
          <w:color w:val="000000"/>
          <w:sz w:val="28"/>
          <w:szCs w:val="28"/>
        </w:rPr>
        <w:t xml:space="preserve"> реестра.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 xml:space="preserve">13. </w:t>
      </w:r>
      <w:proofErr w:type="gramStart"/>
      <w:r w:rsidRPr="00BB457E">
        <w:rPr>
          <w:color w:val="000000"/>
          <w:sz w:val="28"/>
          <w:szCs w:val="28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</w:t>
      </w:r>
      <w:r w:rsidRPr="00BB457E">
        <w:rPr>
          <w:color w:val="000000"/>
          <w:sz w:val="28"/>
          <w:szCs w:val="28"/>
        </w:rPr>
        <w:lastRenderedPageBreak/>
        <w:t>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14. Аннулирование адреса объекта адресации осуществляется в случаях: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а) прекращения существования объекта адресации;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 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в) присвоения объекту адресации нового адреса.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  в  частях 4 и 5 статьи 24 Федерального закона «О государственном  кадастре  недвижимости», из  государственного кадастра недвижимости.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lastRenderedPageBreak/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г) с утверждением проекта планировки территории;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д) с принятием решения о строительстве объекта адресации.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присвоенный объекту адресации адрес;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описание местоположения объекта адресации;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другие  необходимые сведения, определенные уполномоченным органом.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аннулируемый адрес объекта адресации;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причину аннулирования адреса объекта адресации;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  аннулирования адреса объекта адресации на основании присвоения этому объекту адресации нового адреса;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другие необходимые сведения, определенные уполномоченным органом.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 xml:space="preserve">25. Решение о присвоении объекту адресации адреса или аннулировании его адреса подлежит обязательному внесению уполномоченным органом в </w:t>
      </w:r>
      <w:r w:rsidRPr="00BB457E">
        <w:rPr>
          <w:color w:val="000000"/>
          <w:sz w:val="28"/>
          <w:szCs w:val="28"/>
        </w:rPr>
        <w:lastRenderedPageBreak/>
        <w:t>государственный адресный реестр в течение 3 рабочих дней со дня принятия такого решения.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27. Заявление о присвоении объекту адресации адреса или об аннулировании его адреса (далее —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а) право хозяйственного ведения;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б) право оперативного управления;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в) право пожизненно наследуемого владения;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г) право постоянного (бессрочного) пользования.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28. Заявление составляется лицами, указанными в пункте 24 настоящих Правил (далее — заявитель), по форме, устанавливаемой Министерством финансов Российской Федерации.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 xml:space="preserve">29. </w:t>
      </w:r>
      <w:proofErr w:type="gramStart"/>
      <w:r w:rsidRPr="00BB457E">
        <w:rPr>
          <w:color w:val="000000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— представитель заявителя).</w:t>
      </w:r>
      <w:proofErr w:type="gramEnd"/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  установленном законодательством Российской Федерации порядке решением общего собрания указанных собственников.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B457E">
        <w:rPr>
          <w:color w:val="000000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  принятым  в установленном 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 xml:space="preserve">31. </w:t>
      </w:r>
      <w:proofErr w:type="gramStart"/>
      <w:r w:rsidRPr="00BB457E">
        <w:rPr>
          <w:color w:val="000000"/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— единый портал) или региональных порталов  государственных и муниципальных услуг</w:t>
      </w:r>
      <w:proofErr w:type="gramEnd"/>
      <w:r w:rsidRPr="00BB457E">
        <w:rPr>
          <w:color w:val="000000"/>
          <w:sz w:val="28"/>
          <w:szCs w:val="28"/>
        </w:rPr>
        <w:t xml:space="preserve"> (функций) (далее — региональный 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lastRenderedPageBreak/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«Интернет». Заявление представляется в уполномоченный орган или многофункциональный центр по месту нахождения объекта адресации.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32. Заявление подписывается заявителем либо представителем заявителя.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При представлении заявления представителем заявителя к 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B457E">
        <w:rPr>
          <w:color w:val="000000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34. К заявлению прилагаются следующие документы: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 xml:space="preserve">а) правоустанавливающие и (или) </w:t>
      </w:r>
      <w:proofErr w:type="spellStart"/>
      <w:r w:rsidRPr="00BB457E">
        <w:rPr>
          <w:color w:val="000000"/>
          <w:sz w:val="28"/>
          <w:szCs w:val="28"/>
        </w:rPr>
        <w:t>правоудостоверяющие</w:t>
      </w:r>
      <w:proofErr w:type="spellEnd"/>
      <w:r w:rsidRPr="00BB457E">
        <w:rPr>
          <w:color w:val="000000"/>
          <w:sz w:val="28"/>
          <w:szCs w:val="28"/>
        </w:rPr>
        <w:t xml:space="preserve"> документы на объект (объекты) адресации;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lastRenderedPageBreak/>
        <w:t>г) схема расположения объекта адресации на  кадастровом  плане или  кадастровой карте соответствующей территории (в случае присвоения земельному участку адреса);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настоящих Правил);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 xml:space="preserve">35. </w:t>
      </w:r>
      <w:proofErr w:type="gramStart"/>
      <w:r w:rsidRPr="00BB457E">
        <w:rPr>
          <w:color w:val="000000"/>
          <w:sz w:val="28"/>
          <w:szCs w:val="28"/>
        </w:rPr>
        <w:t>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 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  власти, органа местного самоуправления либо подведомственных  государственным органам или органам местного самоуправления организаций.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  документов 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В случае</w:t>
      </w:r>
      <w:proofErr w:type="gramStart"/>
      <w:r w:rsidRPr="00BB457E">
        <w:rPr>
          <w:color w:val="000000"/>
          <w:sz w:val="28"/>
          <w:szCs w:val="28"/>
        </w:rPr>
        <w:t>,</w:t>
      </w:r>
      <w:proofErr w:type="gramEnd"/>
      <w:r w:rsidRPr="00BB457E">
        <w:rPr>
          <w:color w:val="000000"/>
          <w:sz w:val="28"/>
          <w:szCs w:val="28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  через многофункциональный центр, расписка в получении таких заявления и документов направляется уполномоченным органом по указанному в заявлении </w:t>
      </w:r>
      <w:r w:rsidRPr="00BB457E">
        <w:rPr>
          <w:color w:val="000000"/>
          <w:sz w:val="28"/>
          <w:szCs w:val="28"/>
        </w:rPr>
        <w:lastRenderedPageBreak/>
        <w:t>почтовому адресу в течение рабочего дня, следующего за днем получения уполномоченным органом документов.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</w:t>
      </w:r>
      <w:proofErr w:type="gramStart"/>
      <w:r w:rsidRPr="00BB457E">
        <w:rPr>
          <w:color w:val="000000"/>
          <w:sz w:val="28"/>
          <w:szCs w:val="28"/>
        </w:rPr>
        <w:t>ю(</w:t>
      </w:r>
      <w:proofErr w:type="gramEnd"/>
      <w:r w:rsidRPr="00BB457E">
        <w:rPr>
          <w:color w:val="000000"/>
          <w:sz w:val="28"/>
          <w:szCs w:val="28"/>
        </w:rPr>
        <w:t>представителю 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B457E">
        <w:rPr>
          <w:color w:val="000000"/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  заявлении адресу электронной почты или в личный кабинет заявителя (представителя 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  портал или портал адресной системы.</w:t>
      </w:r>
      <w:proofErr w:type="gramEnd"/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Сообщение о получении заявления и документов, указанных в пункте 34 настоящих Правил, направляется 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38. В случае представления заявления через многофункциональный центр срок, указанный в пункте 37 настоящих Правил, исчисляется 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  со  дня  истечения  срока, указанного в пунктах 37 и 38 настоящих Правил;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BB457E">
        <w:rPr>
          <w:color w:val="000000"/>
          <w:sz w:val="28"/>
          <w:szCs w:val="28"/>
        </w:rPr>
        <w:t>днем</w:t>
      </w:r>
      <w:proofErr w:type="gramEnd"/>
      <w:r w:rsidRPr="00BB457E">
        <w:rPr>
          <w:color w:val="000000"/>
          <w:sz w:val="28"/>
          <w:szCs w:val="28"/>
        </w:rPr>
        <w:t xml:space="preserve"> со дня истечения установленного пунктами 37 и 38 настоящих Правил срока посредством  почтового отправления по указанному в заявлении почтовому адресу.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BB457E">
        <w:rPr>
          <w:color w:val="000000"/>
          <w:sz w:val="28"/>
          <w:szCs w:val="28"/>
        </w:rPr>
        <w:t>центр</w:t>
      </w:r>
      <w:proofErr w:type="gramEnd"/>
      <w:r w:rsidRPr="00BB457E">
        <w:rPr>
          <w:color w:val="000000"/>
          <w:sz w:val="28"/>
          <w:szCs w:val="28"/>
        </w:rPr>
        <w:t xml:space="preserve"> по месту представления заявления уполномоченный орган обеспечивает передачу документа </w:t>
      </w:r>
      <w:r w:rsidRPr="00BB457E">
        <w:rPr>
          <w:color w:val="000000"/>
          <w:sz w:val="28"/>
          <w:szCs w:val="28"/>
        </w:rPr>
        <w:lastRenderedPageBreak/>
        <w:t>в многофункциональный центр для выдачи заявителю не позднее  рабочего дня, следующего за днем истечения срока, установленного пунктами 37 и 38 настоящих Правил.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40. В присвоении объекту адресации  адреса  или  аннулировании его адреса может быть отказано в случаях, если: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B457E">
        <w:rPr>
          <w:color w:val="000000"/>
          <w:sz w:val="28"/>
          <w:szCs w:val="28"/>
        </w:rPr>
        <w:t>а) с заявлением о присвоении объекту адресации адреса обратилось лицо, не указанное в пунктах 27 и 29 настоящих Правил;</w:t>
      </w:r>
      <w:proofErr w:type="gramEnd"/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BB457E">
        <w:rPr>
          <w:color w:val="000000"/>
          <w:sz w:val="28"/>
          <w:szCs w:val="28"/>
        </w:rPr>
        <w:t>необходимых</w:t>
      </w:r>
      <w:proofErr w:type="gramEnd"/>
      <w:r w:rsidRPr="00BB457E">
        <w:rPr>
          <w:color w:val="000000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в) документы, обязанность по предоставлению которых для присвоения объекту адресации адреса или 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C3030D" w:rsidRPr="00BB457E" w:rsidRDefault="00C3030D" w:rsidP="00C3030D">
      <w:pPr>
        <w:pStyle w:val="a6"/>
        <w:spacing w:before="0" w:beforeAutospacing="0" w:after="0"/>
        <w:jc w:val="center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C3030D" w:rsidRPr="00BB457E" w:rsidRDefault="00C3030D" w:rsidP="00C3030D">
      <w:pPr>
        <w:pStyle w:val="a6"/>
        <w:spacing w:before="0" w:beforeAutospacing="0" w:after="0"/>
        <w:jc w:val="center"/>
        <w:textAlignment w:val="baseline"/>
        <w:rPr>
          <w:color w:val="000000"/>
          <w:sz w:val="28"/>
          <w:szCs w:val="28"/>
        </w:rPr>
      </w:pPr>
      <w:r w:rsidRPr="00BB457E">
        <w:rPr>
          <w:rStyle w:val="a7"/>
          <w:color w:val="000000"/>
          <w:sz w:val="28"/>
          <w:szCs w:val="28"/>
          <w:bdr w:val="none" w:sz="0" w:space="0" w:color="auto" w:frame="1"/>
        </w:rPr>
        <w:t>III. Структура адреса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 xml:space="preserve">44. Структура адреса включает в себя следующую последовательность    </w:t>
      </w:r>
      <w:proofErr w:type="spellStart"/>
      <w:r w:rsidRPr="00BB457E">
        <w:rPr>
          <w:color w:val="000000"/>
          <w:sz w:val="28"/>
          <w:szCs w:val="28"/>
        </w:rPr>
        <w:t>адресообразующих</w:t>
      </w:r>
      <w:proofErr w:type="spellEnd"/>
      <w:r w:rsidRPr="00BB457E">
        <w:rPr>
          <w:color w:val="000000"/>
          <w:sz w:val="28"/>
          <w:szCs w:val="28"/>
        </w:rPr>
        <w:t xml:space="preserve"> элементов, описанных идентифицирующими их реквизитами (далее — реквизит адреса):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а) наименование страны (Российская Федерация);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б) наименование субъекта Российской Федерации;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г) наименование городского или сельского поселения  в  составе муниципального района (для муниципального района) или внутригородского района городского округа;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д) наименование населенного пункта;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е) наименование элемента планировочной структуры;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ж) наименование элемента улично-дорожной сети;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з) номер земельного участка;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lastRenderedPageBreak/>
        <w:t>к) тип и номер помещения, расположенного в здании или сооружении.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BB457E">
        <w:rPr>
          <w:color w:val="000000"/>
          <w:sz w:val="28"/>
          <w:szCs w:val="28"/>
        </w:rPr>
        <w:t>адресообразующих</w:t>
      </w:r>
      <w:proofErr w:type="spellEnd"/>
      <w:r w:rsidRPr="00BB457E">
        <w:rPr>
          <w:color w:val="000000"/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 xml:space="preserve">46. Перечень </w:t>
      </w:r>
      <w:proofErr w:type="spellStart"/>
      <w:r w:rsidRPr="00BB457E">
        <w:rPr>
          <w:color w:val="000000"/>
          <w:sz w:val="28"/>
          <w:szCs w:val="28"/>
        </w:rPr>
        <w:t>адресообразующих</w:t>
      </w:r>
      <w:proofErr w:type="spellEnd"/>
      <w:r w:rsidRPr="00BB457E">
        <w:rPr>
          <w:color w:val="000000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 xml:space="preserve">47. Обязательными </w:t>
      </w:r>
      <w:proofErr w:type="spellStart"/>
      <w:r w:rsidRPr="00BB457E">
        <w:rPr>
          <w:color w:val="000000"/>
          <w:sz w:val="28"/>
          <w:szCs w:val="28"/>
        </w:rPr>
        <w:t>адресообразующими</w:t>
      </w:r>
      <w:proofErr w:type="spellEnd"/>
      <w:r w:rsidRPr="00BB457E">
        <w:rPr>
          <w:color w:val="000000"/>
          <w:sz w:val="28"/>
          <w:szCs w:val="28"/>
        </w:rPr>
        <w:t xml:space="preserve"> элементами для всех видов объектов адресации являются: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а) страна;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б) субъект Российской Федерации;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в) муниципальный район, городской  округ или внутригородская территория (для городов федерального значения) в составе субъекта Российской Федерации;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г) городское или сельское поселение в составе муниципального района (для муниципального района);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д) населенный пункт.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 xml:space="preserve">48. Иные </w:t>
      </w:r>
      <w:proofErr w:type="spellStart"/>
      <w:r w:rsidRPr="00BB457E">
        <w:rPr>
          <w:color w:val="000000"/>
          <w:sz w:val="28"/>
          <w:szCs w:val="28"/>
        </w:rPr>
        <w:t>адресообразующие</w:t>
      </w:r>
      <w:proofErr w:type="spellEnd"/>
      <w:r w:rsidRPr="00BB457E">
        <w:rPr>
          <w:color w:val="000000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BB457E">
        <w:rPr>
          <w:color w:val="000000"/>
          <w:sz w:val="28"/>
          <w:szCs w:val="28"/>
        </w:rPr>
        <w:t>адресообразующим</w:t>
      </w:r>
      <w:proofErr w:type="spellEnd"/>
      <w:r w:rsidRPr="00BB457E">
        <w:rPr>
          <w:color w:val="000000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BB457E">
        <w:rPr>
          <w:color w:val="000000"/>
          <w:sz w:val="28"/>
          <w:szCs w:val="28"/>
        </w:rPr>
        <w:t>адресообразующие</w:t>
      </w:r>
      <w:proofErr w:type="spellEnd"/>
      <w:r w:rsidRPr="00BB457E">
        <w:rPr>
          <w:color w:val="000000"/>
          <w:sz w:val="28"/>
          <w:szCs w:val="28"/>
        </w:rPr>
        <w:t xml:space="preserve"> элементы, описанные идентифицирующими их реквизитами: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а) наименование элемента планировочной структуры (при наличии);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б) наименование элемента улично-дорожной сети (при наличии);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в) номер земельного участка.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BB457E">
        <w:rPr>
          <w:color w:val="000000"/>
          <w:sz w:val="28"/>
          <w:szCs w:val="28"/>
        </w:rPr>
        <w:t>адресообразующим</w:t>
      </w:r>
      <w:proofErr w:type="spellEnd"/>
      <w:r w:rsidRPr="00BB457E">
        <w:rPr>
          <w:color w:val="000000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BB457E">
        <w:rPr>
          <w:color w:val="000000"/>
          <w:sz w:val="28"/>
          <w:szCs w:val="28"/>
        </w:rPr>
        <w:t>адресообразующие</w:t>
      </w:r>
      <w:proofErr w:type="spellEnd"/>
      <w:r w:rsidRPr="00BB457E">
        <w:rPr>
          <w:color w:val="000000"/>
          <w:sz w:val="28"/>
          <w:szCs w:val="28"/>
        </w:rPr>
        <w:t xml:space="preserve"> элементы, описанные идентифицирующими их реквизитами: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а) наименование элемента планировочной структуры (при наличии);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б) наименование элемента улично-дорожной сети (при наличии);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 xml:space="preserve">51. Структура адреса помещения в пределах здания  (сооружения) в дополнение к обязательным </w:t>
      </w:r>
      <w:proofErr w:type="spellStart"/>
      <w:r w:rsidRPr="00BB457E">
        <w:rPr>
          <w:color w:val="000000"/>
          <w:sz w:val="28"/>
          <w:szCs w:val="28"/>
        </w:rPr>
        <w:t>адресообразующим</w:t>
      </w:r>
      <w:proofErr w:type="spellEnd"/>
      <w:r w:rsidRPr="00BB457E">
        <w:rPr>
          <w:color w:val="000000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BB457E">
        <w:rPr>
          <w:color w:val="000000"/>
          <w:sz w:val="28"/>
          <w:szCs w:val="28"/>
        </w:rPr>
        <w:t>адресообразующие</w:t>
      </w:r>
      <w:proofErr w:type="spellEnd"/>
      <w:r w:rsidRPr="00BB457E">
        <w:rPr>
          <w:color w:val="000000"/>
          <w:sz w:val="28"/>
          <w:szCs w:val="28"/>
        </w:rPr>
        <w:t xml:space="preserve"> элементы, описанные идентифицирующими их реквизитами: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а) наименование элемента планировочной структуры (при наличии);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б) наименование элемента улично-дорожной сети (при наличии);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в) тип и номер здания, сооружения;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г) тип и номер помещения в пределах здания, сооружения;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</w:t>
      </w:r>
      <w:r w:rsidRPr="00BB457E">
        <w:rPr>
          <w:color w:val="000000"/>
          <w:sz w:val="28"/>
          <w:szCs w:val="28"/>
        </w:rPr>
        <w:lastRenderedPageBreak/>
        <w:t xml:space="preserve">сокращенного наименования </w:t>
      </w:r>
      <w:proofErr w:type="spellStart"/>
      <w:r w:rsidRPr="00BB457E">
        <w:rPr>
          <w:color w:val="000000"/>
          <w:sz w:val="28"/>
          <w:szCs w:val="28"/>
        </w:rPr>
        <w:t>адресообразующих</w:t>
      </w:r>
      <w:proofErr w:type="spellEnd"/>
      <w:r w:rsidRPr="00BB457E">
        <w:rPr>
          <w:color w:val="000000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BB457E">
        <w:rPr>
          <w:rStyle w:val="a7"/>
          <w:color w:val="000000"/>
          <w:sz w:val="28"/>
          <w:szCs w:val="28"/>
          <w:bdr w:val="none" w:sz="0" w:space="0" w:color="auto" w:frame="1"/>
        </w:rPr>
        <w:t>IV. Правила написания наименований и нумерации объектов адресации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  элементов планировочной структуры и элементов улично-дорожной сети 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Наименования страны и субъектов  Российской  Федерации  должны</w:t>
      </w:r>
      <w:proofErr w:type="gramStart"/>
      <w:r w:rsidRPr="00BB457E">
        <w:rPr>
          <w:color w:val="000000"/>
          <w:sz w:val="28"/>
          <w:szCs w:val="28"/>
        </w:rPr>
        <w:t xml:space="preserve"> С</w:t>
      </w:r>
      <w:proofErr w:type="gramEnd"/>
      <w:r w:rsidRPr="00BB457E">
        <w:rPr>
          <w:color w:val="000000"/>
          <w:sz w:val="28"/>
          <w:szCs w:val="28"/>
        </w:rPr>
        <w:t>оответствовать соответствующим наименованиям в Конституции Российской Федерации.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B457E">
        <w:rPr>
          <w:color w:val="000000"/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  Российской Федерации, городских и сельских поселений в соответствии с государственным  реестром муниципальных образований Российской Федерации, перечень наименований населенных пунктов в 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BB457E">
        <w:rPr>
          <w:color w:val="000000"/>
          <w:sz w:val="28"/>
          <w:szCs w:val="28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а) «</w:t>
      </w:r>
      <w:proofErr w:type="gramStart"/>
      <w:r w:rsidRPr="00BB457E">
        <w:rPr>
          <w:color w:val="000000"/>
          <w:sz w:val="28"/>
          <w:szCs w:val="28"/>
        </w:rPr>
        <w:t>-»</w:t>
      </w:r>
      <w:proofErr w:type="gramEnd"/>
      <w:r w:rsidRPr="00BB457E">
        <w:rPr>
          <w:color w:val="000000"/>
          <w:sz w:val="28"/>
          <w:szCs w:val="28"/>
        </w:rPr>
        <w:t xml:space="preserve"> — дефис;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б) «</w:t>
      </w:r>
      <w:proofErr w:type="gramStart"/>
      <w:r w:rsidRPr="00BB457E">
        <w:rPr>
          <w:color w:val="000000"/>
          <w:sz w:val="28"/>
          <w:szCs w:val="28"/>
        </w:rPr>
        <w:t>.»</w:t>
      </w:r>
      <w:proofErr w:type="gramEnd"/>
      <w:r w:rsidRPr="00BB457E">
        <w:rPr>
          <w:color w:val="000000"/>
          <w:sz w:val="28"/>
          <w:szCs w:val="28"/>
        </w:rPr>
        <w:t xml:space="preserve"> — точка;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в</w:t>
      </w:r>
      <w:proofErr w:type="gramStart"/>
      <w:r w:rsidRPr="00BB457E">
        <w:rPr>
          <w:color w:val="000000"/>
          <w:sz w:val="28"/>
          <w:szCs w:val="28"/>
        </w:rPr>
        <w:t xml:space="preserve">) «(» — </w:t>
      </w:r>
      <w:proofErr w:type="gramEnd"/>
      <w:r w:rsidRPr="00BB457E">
        <w:rPr>
          <w:color w:val="000000"/>
          <w:sz w:val="28"/>
          <w:szCs w:val="28"/>
        </w:rPr>
        <w:t>открывающая круглая скобка;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B457E">
        <w:rPr>
          <w:color w:val="000000"/>
          <w:sz w:val="28"/>
          <w:szCs w:val="28"/>
        </w:rPr>
        <w:t>г) «)» — закрывающая круглая скобка;</w:t>
      </w:r>
      <w:proofErr w:type="gramEnd"/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д) «N» — знак номера.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lastRenderedPageBreak/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 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  деятелей, оформляются в родительном падеже.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«ё», «з», «й», «ъ», «ы» и «ь», а также символ «/» – косая черта.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C3030D" w:rsidRPr="00BB457E" w:rsidRDefault="00C3030D" w:rsidP="00C3030D">
      <w:pPr>
        <w:pStyle w:val="a6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B457E">
        <w:rPr>
          <w:color w:val="000000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DB47CF" w:rsidRDefault="00DB47CF"/>
    <w:sectPr w:rsidR="00DB47CF" w:rsidSect="00C3030D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DF"/>
    <w:rsid w:val="000050DF"/>
    <w:rsid w:val="002A28A5"/>
    <w:rsid w:val="00C3030D"/>
    <w:rsid w:val="00DB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0DF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050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0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050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semiHidden/>
    <w:unhideWhenUsed/>
    <w:rsid w:val="000050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0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0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C3030D"/>
    <w:pPr>
      <w:spacing w:before="100" w:beforeAutospacing="1" w:after="119"/>
    </w:pPr>
  </w:style>
  <w:style w:type="character" w:customStyle="1" w:styleId="FontStyle26">
    <w:name w:val="Font Style26"/>
    <w:rsid w:val="00C3030D"/>
    <w:rPr>
      <w:rFonts w:ascii="Times New Roman" w:hAnsi="Times New Roman" w:cs="Times New Roman" w:hint="default"/>
      <w:sz w:val="28"/>
      <w:szCs w:val="28"/>
    </w:rPr>
  </w:style>
  <w:style w:type="character" w:styleId="a7">
    <w:name w:val="Strong"/>
    <w:uiPriority w:val="22"/>
    <w:qFormat/>
    <w:rsid w:val="00C303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0DF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050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0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050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semiHidden/>
    <w:unhideWhenUsed/>
    <w:rsid w:val="000050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0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0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C3030D"/>
    <w:pPr>
      <w:spacing w:before="100" w:beforeAutospacing="1" w:after="119"/>
    </w:pPr>
  </w:style>
  <w:style w:type="character" w:customStyle="1" w:styleId="FontStyle26">
    <w:name w:val="Font Style26"/>
    <w:rsid w:val="00C3030D"/>
    <w:rPr>
      <w:rFonts w:ascii="Times New Roman" w:hAnsi="Times New Roman" w:cs="Times New Roman" w:hint="default"/>
      <w:sz w:val="28"/>
      <w:szCs w:val="28"/>
    </w:rPr>
  </w:style>
  <w:style w:type="character" w:styleId="a7">
    <w:name w:val="Strong"/>
    <w:uiPriority w:val="22"/>
    <w:qFormat/>
    <w:rsid w:val="00C30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rs.Tul@tata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nrs.Tul@tat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EFE7-9AF5-4998-B059-3DB8C00A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5368</Words>
  <Characters>30599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2015-09-23T04:45:00Z</dcterms:created>
  <dcterms:modified xsi:type="dcterms:W3CDTF">2015-09-23T04:59:00Z</dcterms:modified>
</cp:coreProperties>
</file>